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954" w:hanging="0"/>
        <w:rPr>
          <w:sz w:val="28"/>
          <w:szCs w:val="28"/>
        </w:rPr>
      </w:pPr>
      <w:r>
        <w:rPr/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Cs w:val="26"/>
        </w:rPr>
      </w:pPr>
      <w:r>
        <w:rPr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  <w:t xml:space="preserve">Технические требования 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8"/>
          <w:szCs w:val="28"/>
          <w:u w:val="none"/>
          <w:em w:val="none"/>
          <w:lang w:val="ru-RU" w:eastAsia="ru-RU" w:bidi="ar-SA"/>
        </w:rPr>
        <w:t>О</w:t>
      </w: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8"/>
          <w:szCs w:val="28"/>
          <w:u w:val="none"/>
          <w:em w:val="none"/>
          <w:lang w:val="ru-RU" w:eastAsia="ru-RU" w:bidi="ar-SA"/>
        </w:rPr>
        <w:t>К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8"/>
          <w:szCs w:val="28"/>
          <w:u w:val="none"/>
          <w:em w:val="none"/>
        </w:rPr>
        <w:t>ПД2 43.21.10.170 Выполнение работ по проведению высоковольтных испытаний и пусконаладочных работ</w:t>
      </w: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 xml:space="preserve"> АСУТП ячеек №1 и №4 (СШ1, СШ2) ЗРУ-220 кВ Колымской ГЭС имени Ю.И. Фриштера</w:t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</w:p>
    <w:p>
      <w:pPr>
        <w:pStyle w:val="Normal"/>
        <w:jc w:val="center"/>
        <w:rPr>
          <w:strike/>
        </w:rPr>
      </w:pPr>
      <w:r>
        <w:rPr>
          <w:strike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p>
      <w:pPr>
        <w:pStyle w:val="Normal"/>
        <w:rPr>
          <w:sz w:val="24"/>
          <w:szCs w:val="24"/>
        </w:rPr>
      </w:pPr>
      <w:r>
        <w:rPr>
          <w:b/>
          <w:bCs/>
          <w:sz w:val="24"/>
          <w:szCs w:val="24"/>
        </w:rPr>
        <w:t>1. Общие сведения</w:t>
      </w:r>
      <w:r>
        <w:rPr>
          <w:sz w:val="24"/>
          <w:szCs w:val="24"/>
        </w:rPr>
        <w:tab/>
        <w:t>…………………………………………..............................................</w:t>
        <w:tab/>
      </w:r>
      <w:r>
        <w:rPr>
          <w:sz w:val="24"/>
          <w:szCs w:val="24"/>
          <w:shd w:fill="auto" w:val="clear"/>
        </w:rPr>
        <w:t>3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1.1</w:t>
      </w:r>
      <w:r>
        <w:rPr>
          <w:sz w:val="24"/>
          <w:szCs w:val="24"/>
          <w:shd w:fill="auto" w:val="clear"/>
        </w:rPr>
        <w:t>. Обозначения и сокращения</w:t>
        <w:tab/>
        <w:t>……...………..………………………………….….</w:t>
        <w:tab/>
        <w:t>3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1.2 Наименование выполняемых работ</w:t>
        <w:tab/>
        <w:t>…….…...………..………………………….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1.3. Заказчик…………………………………..…………………………..……………….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1.4. Подрядчик…………………………………..…………..………………………..…….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1.5. Цель выполнения работ………………………..…………..………………………..…….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1.6. Существующее положение…………………..…………..………………………..…….</w:t>
        <w:tab/>
        <w:t>4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Таблица 1. Перечень объектов заказчика</w:t>
      </w:r>
      <w:r>
        <w:rPr>
          <w:b w:val="false"/>
          <w:bCs w:val="false"/>
          <w:sz w:val="24"/>
          <w:szCs w:val="24"/>
          <w:shd w:fill="auto" w:val="clear"/>
        </w:rPr>
        <w:t>……</w:t>
      </w:r>
      <w:r>
        <w:rPr>
          <w:sz w:val="24"/>
          <w:szCs w:val="24"/>
          <w:shd w:fill="auto" w:val="clear"/>
        </w:rPr>
        <w:t>……………..………………………..…….</w:t>
        <w:tab/>
        <w:t>4</w:t>
      </w:r>
    </w:p>
    <w:p>
      <w:pPr>
        <w:pStyle w:val="Normal"/>
        <w:ind w:left="426" w:right="-3" w:hanging="426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1.7.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договора......………………........……………….</w:t>
        <w:tab/>
        <w:t>5</w:t>
      </w:r>
    </w:p>
    <w:p>
      <w:pPr>
        <w:pStyle w:val="Normal"/>
        <w:ind w:left="426" w:right="-3" w:hanging="426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 xml:space="preserve">1.8. </w:t>
      </w:r>
      <w:bookmarkStart w:id="0" w:name="_Toc54646402_Копия_1"/>
      <w:r>
        <w:rPr>
          <w:sz w:val="24"/>
          <w:szCs w:val="24"/>
          <w:shd w:fill="auto" w:val="clear"/>
          <w:lang w:val="ru-RU"/>
        </w:rPr>
        <w:t xml:space="preserve">Иные требования и сведения общего характера </w:t>
      </w:r>
      <w:bookmarkEnd w:id="0"/>
      <w:r>
        <w:rPr>
          <w:sz w:val="24"/>
          <w:szCs w:val="24"/>
          <w:shd w:fill="auto" w:val="clear"/>
        </w:rPr>
        <w:t>......………………........……………….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2. Требования к выполняемым работам</w:t>
      </w:r>
      <w:r>
        <w:rPr>
          <w:sz w:val="24"/>
          <w:szCs w:val="24"/>
          <w:shd w:fill="auto" w:val="clear"/>
        </w:rPr>
        <w:tab/>
        <w:t>…………………………………..………..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2.1. Требования к объемам и срокам выполнения работ.………………………………….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2.1.1. Требования к видам выполнения работ.……………...………………………….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Таблица 2. Перечень и объем выполняемых работ</w:t>
      </w:r>
      <w:r>
        <w:rPr>
          <w:sz w:val="24"/>
          <w:szCs w:val="24"/>
          <w:shd w:fill="auto" w:val="clear"/>
        </w:rPr>
        <w:t>.………...………………………….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2.1.2. Требования к срокам выполнения работ.……………………..………..………….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Таблица 3. Требования по срокам выполнения работ</w:t>
      </w:r>
      <w:r>
        <w:rPr>
          <w:sz w:val="24"/>
          <w:szCs w:val="24"/>
          <w:shd w:fill="auto" w:val="clear"/>
        </w:rPr>
        <w:t>.………………………………….</w:t>
        <w:tab/>
        <w:t>5</w:t>
      </w:r>
    </w:p>
    <w:p>
      <w:pPr>
        <w:pStyle w:val="Normal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2.2. Требования к качеству продукции</w:t>
        <w:tab/>
        <w:t>……...………………………….…………………</w:t>
        <w:tab/>
        <w:t>7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 xml:space="preserve">Таблица 4. Требования к качеству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>работ.…………………</w:t>
      </w:r>
      <w:r>
        <w:rPr>
          <w:sz w:val="24"/>
          <w:szCs w:val="24"/>
          <w:shd w:fill="auto" w:val="clear"/>
        </w:rPr>
        <w:t>..……………………….</w:t>
        <w:tab/>
        <w:t>7</w:t>
      </w:r>
    </w:p>
    <w:p>
      <w:p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3. Требования к документации по ценообразованию</w:t>
      </w:r>
      <w:r>
        <w:rPr>
          <w:b/>
          <w:bCs/>
          <w:shd w:fill="auto" w:val="clear"/>
        </w:rPr>
        <w:t xml:space="preserve"> </w:t>
      </w:r>
      <w:r>
        <w:rPr>
          <w:b/>
          <w:bCs/>
          <w:sz w:val="24"/>
          <w:szCs w:val="24"/>
          <w:shd w:fill="auto" w:val="clear"/>
        </w:rPr>
        <w:t>на этапе закупки</w:t>
      </w:r>
      <w:r>
        <w:rPr>
          <w:sz w:val="24"/>
          <w:szCs w:val="24"/>
          <w:shd w:fill="auto" w:val="clear"/>
        </w:rPr>
        <w:tab/>
        <w:t>..…..…..…..</w:t>
        <w:tab/>
        <w:t>16</w:t>
      </w:r>
    </w:p>
    <w:p>
      <w:pPr>
        <w:pStyle w:val="Normal"/>
        <w:rPr>
          <w:b/>
          <w:bCs/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4. Требования к документации по ценообразованию на этапе заключения (исполнения)</w:t>
      </w:r>
    </w:p>
    <w:p>
      <w:pPr>
        <w:pStyle w:val="Normal"/>
        <w:ind w:firstLine="284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договора</w:t>
      </w:r>
      <w:r>
        <w:rPr>
          <w:sz w:val="24"/>
          <w:szCs w:val="24"/>
          <w:shd w:fill="auto" w:val="clear"/>
        </w:rPr>
        <w:tab/>
        <w:t>..…………………………………………………………………………...…..…..</w:t>
        <w:tab/>
        <w:t>16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134" w:right="851" w:gutter="0" w:header="680" w:top="1134" w:footer="737" w:bottom="992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highlight w:val="none"/>
          <w:shd w:fill="auto" w:val="clear"/>
        </w:rPr>
      </w:pPr>
      <w:r>
        <w:rPr>
          <w:b/>
          <w:bCs/>
          <w:sz w:val="24"/>
          <w:szCs w:val="24"/>
          <w:shd w:fill="auto" w:val="clear"/>
        </w:rPr>
        <w:t>5. Приложения</w:t>
      </w:r>
      <w:r>
        <w:rPr>
          <w:sz w:val="24"/>
          <w:szCs w:val="24"/>
          <w:shd w:fill="auto" w:val="clear"/>
        </w:rPr>
        <w:tab/>
        <w:t>………………………………………………………………………....….</w:t>
        <w:tab/>
        <w:t>16</w:t>
      </w:r>
    </w:p>
    <w:p>
      <w:pPr>
        <w:pStyle w:val="Heading1"/>
        <w:numPr>
          <w:ilvl w:val="0"/>
          <w:numId w:val="3"/>
        </w:numPr>
        <w:rPr>
          <w:caps/>
        </w:rPr>
      </w:pPr>
      <w:bookmarkStart w:id="1" w:name="_Toc51339692"/>
      <w:bookmarkStart w:id="2" w:name="_Toc54646395"/>
      <w:r>
        <w:rPr/>
        <w:t>Общие сведения</w:t>
      </w:r>
      <w:bookmarkStart w:id="3" w:name="_Toc46743505"/>
      <w:bookmarkStart w:id="4" w:name="_Toc54646396"/>
      <w:bookmarkEnd w:id="1"/>
      <w:bookmarkEnd w:id="2"/>
      <w:bookmarkEnd w:id="3"/>
      <w:bookmarkEnd w:id="4"/>
    </w:p>
    <w:p>
      <w:pPr>
        <w:pStyle w:val="Heading4"/>
        <w:numPr>
          <w:ilvl w:val="0"/>
          <w:numId w:val="0"/>
        </w:numPr>
        <w:ind w:left="1224" w:hanging="0"/>
        <w:rPr/>
      </w:pPr>
      <w:r>
        <w:rPr>
          <w:sz w:val="24"/>
          <w:szCs w:val="24"/>
        </w:rPr>
        <w:t>1.1. Обозначения и сокращения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КГЭС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Колымская ГЭС имени Ю.И. Фриштера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Пусконаладочные работы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ВВИ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Высоковольтные испытания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ЗРУ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Закрытое распределительное устройство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АСУТП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Автоматизированная система управления технологическим присоединением</w:t>
            </w:r>
          </w:p>
        </w:tc>
      </w:tr>
      <w:tr>
        <w:trPr>
          <w:trHeight w:val="526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ППР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Проект производства работ</w:t>
            </w:r>
          </w:p>
        </w:tc>
      </w:tr>
      <w:tr>
        <w:trPr>
          <w:trHeight w:val="526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  <w:t>ППИ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  <w:t>Программа проведений испытаний</w:t>
            </w:r>
          </w:p>
        </w:tc>
      </w:tr>
      <w:tr>
        <w:trPr>
          <w:trHeight w:val="526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ТК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Технологическая карта</w:t>
            </w:r>
          </w:p>
        </w:tc>
      </w:tr>
      <w:tr>
        <w:trPr>
          <w:trHeight w:val="526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  <w:t>МТР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  <w:t>Материально-технические ресурсы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 охраны труда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 и ЧС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Гражданская оборона и чрезвычайная ситуация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0"/>
          <w:numId w:val="0"/>
        </w:numPr>
        <w:ind w:hanging="0"/>
        <w:rPr/>
      </w:pPr>
      <w:r>
        <w:rPr/>
        <w:t xml:space="preserve">1.2. </w:t>
      </w:r>
      <w:bookmarkStart w:id="5" w:name="_Toc54646397"/>
      <w:bookmarkStart w:id="6" w:name="_Toc46743506"/>
      <w:r>
        <w:rPr/>
        <w:t xml:space="preserve">Наименование </w:t>
      </w:r>
      <w:bookmarkEnd w:id="5"/>
      <w:bookmarkEnd w:id="6"/>
      <w:r>
        <w:rPr/>
        <w:t>выполняемых работ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uppressAutoHyphens w:val="true"/>
        <w:bidi w:val="0"/>
        <w:spacing w:before="120" w:after="120"/>
        <w:ind w:left="0" w:right="0" w:firstLine="454"/>
        <w:jc w:val="both"/>
        <w:rPr>
          <w:sz w:val="24"/>
          <w:szCs w:val="24"/>
        </w:rPr>
      </w:pP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О</w:t>
      </w: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КПД2 43.21.10.170 Выполнение работ по проведению высоковольтных испытаний и пусконаладочных работ</w:t>
      </w:r>
      <w:r>
        <w:rPr>
          <w:rFonts w:eastAsia="Calibri" w:cs="Times New Roman"/>
          <w:color w:val="auto"/>
          <w:kern w:val="0"/>
          <w:sz w:val="24"/>
          <w:szCs w:val="24"/>
          <w:lang w:val="ru-RU" w:eastAsia="ru-RU" w:bidi="ar-SA"/>
        </w:rPr>
        <w:t xml:space="preserve"> АСУТП ячеек №1 и №4 (СШ1, СШ2) ЗРУ-220 кВ Колымской ГЭС имени Ю.И. Фриштера (Далее - Работы).</w:t>
      </w:r>
    </w:p>
    <w:p>
      <w:pPr>
        <w:pStyle w:val="Heading4"/>
        <w:numPr>
          <w:ilvl w:val="1"/>
          <w:numId w:val="3"/>
        </w:numPr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</w:rPr>
        <w:t xml:space="preserve">Заказчик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454"/>
        <w:jc w:val="left"/>
        <w:rPr>
          <w:highlight w:val="none"/>
          <w:shd w:fill="auto" w:val="clear"/>
        </w:rPr>
      </w:pPr>
      <w:r>
        <w:rPr>
          <w:rFonts w:cs="Times New Roman"/>
          <w:b w:val="false"/>
          <w:bCs w:val="false"/>
          <w:sz w:val="24"/>
          <w:szCs w:val="24"/>
          <w:u w:val="none"/>
          <w:shd w:fill="auto" w:val="clear"/>
        </w:rPr>
        <w:t>Публичное акционерное общество «Колымаэнерго».</w:t>
      </w:r>
    </w:p>
    <w:p>
      <w:pPr>
        <w:pStyle w:val="Heading4"/>
        <w:numPr>
          <w:ilvl w:val="1"/>
          <w:numId w:val="3"/>
        </w:numPr>
        <w:rPr>
          <w:highlight w:val="none"/>
          <w:shd w:fill="auto" w:val="clear"/>
        </w:rPr>
      </w:pPr>
      <w:r>
        <w:rPr>
          <w:b/>
          <w:i w:val="false"/>
          <w:iCs w:val="false"/>
          <w:sz w:val="24"/>
          <w:szCs w:val="24"/>
          <w:shd w:fill="auto" w:val="clear"/>
        </w:rPr>
        <w:t>Подрядчик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454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Саяно-Шушенский Филиал Акционерного общества «Гидроремонт-ВКК» в п. Черёмушки.</w:t>
      </w:r>
    </w:p>
    <w:p>
      <w:pPr>
        <w:pStyle w:val="Heading4"/>
        <w:numPr>
          <w:ilvl w:val="1"/>
          <w:numId w:val="3"/>
        </w:numPr>
        <w:rPr/>
      </w:pPr>
      <w:bookmarkStart w:id="7" w:name="_Toc54646398"/>
      <w:bookmarkStart w:id="8" w:name="_Toc46743507"/>
      <w:r>
        <w:rPr/>
        <w:t xml:space="preserve">Цель </w:t>
      </w:r>
      <w:bookmarkEnd w:id="8"/>
      <w:r>
        <w:rPr/>
        <w:t>выполнения работ</w:t>
      </w:r>
      <w:bookmarkEnd w:id="7"/>
    </w:p>
    <w:p>
      <w:pPr>
        <w:pStyle w:val="Normal"/>
        <w:widowControl w:val="false"/>
        <w:tabs>
          <w:tab w:val="clear" w:pos="708"/>
          <w:tab w:val="left" w:pos="426" w:leader="none"/>
        </w:tabs>
        <w:suppressAutoHyphens w:val="true"/>
        <w:bidi w:val="0"/>
        <w:spacing w:before="120" w:after="120"/>
        <w:ind w:left="0" w:right="0" w:firstLine="454"/>
        <w:jc w:val="both"/>
        <w:rPr/>
      </w:pPr>
      <w:r>
        <w:rPr>
          <w:rFonts w:eastAsia="Calibri"/>
          <w:sz w:val="24"/>
          <w:lang w:eastAsia="x-none"/>
        </w:rPr>
        <w:t>Исполнение обязательств по догов</w:t>
      </w:r>
      <w:r>
        <w:rPr>
          <w:rFonts w:eastAsia="Calibri" w:cs="Times New Roman"/>
          <w:color w:val="auto"/>
          <w:kern w:val="0"/>
          <w:sz w:val="24"/>
          <w:szCs w:val="28"/>
          <w:lang w:val="ru-RU" w:eastAsia="x-none" w:bidi="ar-SA"/>
        </w:rPr>
        <w:t>ору 3339-КГЭС_ТпиР ОБСЛ (0009-ТПиР ОБСЛ-2024-КЭ-КГЭС) «Выполнение электромонтажных и пусконаладочных работ (включая поставку оборудования и материалов) п</w:t>
      </w:r>
      <w:r>
        <w:rPr>
          <w:rFonts w:eastAsia="GOSTTypeA" w:cs="Times New Roman"/>
          <w:sz w:val="24"/>
          <w:szCs w:val="24"/>
          <w:shd w:fill="auto" w:val="clear"/>
          <w:lang w:eastAsia="x-none"/>
        </w:rPr>
        <w:t>о замене силового оборудования ЗРУ-220кВ Колымской ГЭС в рамках реализации инвестиционного проекта F_T-7036-001»</w:t>
      </w:r>
      <w:r>
        <w:rPr>
          <w:rFonts w:eastAsia="Calibri"/>
          <w:sz w:val="24"/>
          <w:szCs w:val="24"/>
          <w:shd w:fill="auto" w:val="clear"/>
          <w:lang w:eastAsia="x-none"/>
        </w:rPr>
        <w:t>.</w:t>
      </w:r>
    </w:p>
    <w:p>
      <w:pPr>
        <w:pStyle w:val="Heading4"/>
        <w:widowControl w:val="false"/>
        <w:numPr>
          <w:ilvl w:val="1"/>
          <w:numId w:val="3"/>
        </w:numPr>
        <w:tabs>
          <w:tab w:val="clear" w:pos="708"/>
          <w:tab w:val="left" w:pos="426" w:leader="none"/>
        </w:tabs>
        <w:spacing w:before="120" w:after="240"/>
        <w:jc w:val="both"/>
        <w:rPr>
          <w:rStyle w:val="Style8"/>
        </w:rPr>
      </w:pPr>
      <w:bookmarkStart w:id="9" w:name="_Toc46743508"/>
      <w:bookmarkStart w:id="10" w:name="_Toc54646399"/>
      <w:r>
        <w:rPr/>
        <w:t>Существующее положение</w:t>
      </w:r>
      <w:bookmarkEnd w:id="9"/>
      <w:r>
        <w:rPr>
          <w:lang w:val="ru-RU"/>
        </w:rPr>
        <w:t xml:space="preserve"> </w:t>
      </w:r>
      <w:bookmarkEnd w:id="10"/>
    </w:p>
    <w:p>
      <w:pPr>
        <w:pStyle w:val="Heading1"/>
        <w:numPr>
          <w:ilvl w:val="0"/>
          <w:numId w:val="0"/>
        </w:numPr>
        <w:ind w:left="0" w:hanging="0"/>
        <w:rPr>
          <w:sz w:val="24"/>
        </w:rPr>
      </w:pPr>
      <w:bookmarkStart w:id="11" w:name="_Toc54646400"/>
      <w:r>
        <w:rPr>
          <w:sz w:val="24"/>
        </w:rPr>
        <w:t>Таблица 1. Перечень объектов заказчика</w:t>
      </w:r>
      <w:bookmarkEnd w:id="11"/>
    </w:p>
    <w:tbl>
      <w:tblPr>
        <w:tblW w:w="1005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3"/>
        <w:gridCol w:w="2260"/>
        <w:gridCol w:w="2131"/>
        <w:gridCol w:w="2128"/>
        <w:gridCol w:w="2977"/>
      </w:tblGrid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rPr/>
            </w:pPr>
            <w:r>
              <w:rPr/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О</w:t>
            </w:r>
            <w:r>
              <w:rPr>
                <w:rFonts w:eastAsia="Calibri" w:cs="Times New Roman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К</w:t>
            </w:r>
            <w:r>
              <w:rPr>
                <w:rFonts w:eastAsia="Calibri" w:cs="Times New Roman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ПД2 43.21.10.170 Выполнение работ по проведению высоковольтных испытаний и пусконаладочных работ</w:t>
            </w:r>
            <w:r>
              <w:rPr>
                <w:rFonts w:eastAsia="Calibri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АСУТП ячеек №1 и №4 (СШ1, СШ2) ЗРУ-220 кВ Колымской ГЭС имени Ю.И. Фриштера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highlight w:val="none"/>
                <w:shd w:fill="auto" w:val="clear"/>
              </w:rPr>
            </w:pPr>
            <w:r>
              <w:rPr>
                <w:iCs/>
                <w:color w:val="000000"/>
                <w:sz w:val="24"/>
                <w:szCs w:val="24"/>
                <w:shd w:fill="auto" w:val="clear"/>
              </w:rPr>
              <w:t xml:space="preserve">Колымская ГЭС </w:t>
            </w:r>
            <w:r>
              <w:rPr>
                <w:rFonts w:eastAsia="Calibri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имени Ю.И. Фриштера</w:t>
            </w:r>
            <w:r>
              <w:rPr>
                <w:iCs/>
                <w:color w:val="000000"/>
                <w:sz w:val="24"/>
                <w:szCs w:val="24"/>
                <w:shd w:fill="auto" w:val="clear"/>
              </w:rPr>
              <w:t xml:space="preserve"> (ПАО «Колымаэнерго»), Российская Федерация, Магаданская область, Ягоднинский городской округ, п. Синегорье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Оборудование ЗРУ-220 4 агр., инв. № 6042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Оборудование ЗРУ-220 2 агр., инв. № 6045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iCs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Оборудование ЗРУ-220 1 агр., инв.№ 6046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Условия производства работ: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340" w:right="227" w:hanging="283"/>
              <w:contextualSpacing/>
              <w:jc w:val="left"/>
              <w:rPr>
                <w:lang w:eastAsia="en-US"/>
              </w:rPr>
            </w:pPr>
            <w:r>
              <w:rPr>
                <w:lang w:eastAsia="en-US"/>
              </w:rPr>
              <w:t>Производство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т.п.) или движения транспорта по внутрицеховым путям.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uppressAutoHyphens w:val="true"/>
              <w:bidi w:val="0"/>
              <w:spacing w:before="0" w:after="0"/>
              <w:ind w:left="340" w:right="227" w:hanging="227"/>
              <w:contextualSpacing/>
              <w:jc w:val="left"/>
              <w:rPr>
                <w:lang w:eastAsia="en-US"/>
              </w:rPr>
            </w:pP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Производство работ вблизи объектов, находящихся под высоким напряжением.</w:t>
            </w:r>
          </w:p>
        </w:tc>
      </w:tr>
    </w:tbl>
    <w:p>
      <w:pPr>
        <w:pStyle w:val="Heading4"/>
        <w:numPr>
          <w:ilvl w:val="1"/>
          <w:numId w:val="3"/>
        </w:numPr>
        <w:rPr/>
      </w:pPr>
      <w:r>
        <w:rPr/>
        <w:t xml:space="preserve"> </w:t>
      </w:r>
      <w:bookmarkStart w:id="12" w:name="_Hlk49857604_Копия_1"/>
      <w:bookmarkStart w:id="13" w:name="_Toc46743509_Копия_1"/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 xml:space="preserve">Информация в отношении исполнения договора, которая </w:t>
      </w:r>
      <w:bookmarkStart w:id="14" w:name="_Hlk46492347"/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 xml:space="preserve">должна быть учтена при подготовке заявки </w:t>
      </w:r>
      <w:bookmarkEnd w:id="14"/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 xml:space="preserve">(в том числе перечень ресурсов, услуг и документов, предоставляемых </w:t>
      </w:r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ru-RU" w:eastAsia="x-none" w:bidi="ar-SA"/>
        </w:rPr>
        <w:t xml:space="preserve">Субподрядчиком </w:t>
      </w:r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x-none" w:eastAsia="x-none" w:bidi="ar-SA"/>
        </w:rPr>
        <w:t>на этапе исполнения договора)</w:t>
      </w:r>
      <w:bookmarkEnd w:id="12"/>
      <w:bookmarkEnd w:id="13"/>
    </w:p>
    <w:p>
      <w:pPr>
        <w:pStyle w:val="Normal"/>
        <w:rPr/>
      </w:pPr>
      <w:r>
        <w:rPr>
          <w:rFonts w:eastAsia="Calibri" w:cs="Times New Roman"/>
          <w:b w:val="false"/>
          <w:color w:val="auto"/>
          <w:kern w:val="0"/>
          <w:sz w:val="24"/>
          <w:szCs w:val="24"/>
          <w:lang w:val="x-none" w:eastAsia="x-none" w:bidi="ar-SA"/>
        </w:rPr>
        <w:t xml:space="preserve">1.7.1 </w:t>
      </w: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>Заказчик предоставит Субподрядчику:</w:t>
      </w:r>
    </w:p>
    <w:p>
      <w:pPr>
        <w:pStyle w:val="Normal"/>
        <w:rPr>
          <w:rFonts w:eastAsia="Calibri" w:cs="Times New Roman"/>
          <w:b w:val="false"/>
          <w:i w:val="false"/>
          <w:i w:val="false"/>
          <w:iCs w:val="false"/>
          <w:color w:val="auto"/>
          <w:kern w:val="0"/>
          <w:sz w:val="24"/>
          <w:szCs w:val="24"/>
          <w:shd w:fill="auto" w:val="clear"/>
          <w:lang w:val="x-none" w:eastAsia="x-none" w:bidi="ar-SA"/>
        </w:rPr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</w:r>
    </w:p>
    <w:p>
      <w:pPr>
        <w:pStyle w:val="Normal"/>
        <w:jc w:val="both"/>
        <w:rPr/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 xml:space="preserve">- Рабочая документация </w:t>
      </w:r>
      <w:r>
        <w:rPr>
          <w:rFonts w:eastAsia="Calibri" w:cs="Times New Roman"/>
          <w:b w:val="false"/>
          <w:bCs/>
          <w:i w:val="false"/>
          <w:iCs/>
          <w:color w:val="000000"/>
          <w:kern w:val="0"/>
          <w:sz w:val="24"/>
          <w:szCs w:val="24"/>
          <w:shd w:fill="auto" w:val="clear"/>
          <w:lang w:val="x-none" w:eastAsia="x-none" w:bidi="ar-SA"/>
        </w:rPr>
        <w:t>ЭС2200028.143 «Замена силового оборудования ЗРУ-220кВ, с проработкой вариантов замены на КРУЭ»</w:t>
      </w:r>
    </w:p>
    <w:p>
      <w:pPr>
        <w:pStyle w:val="Normal"/>
        <w:jc w:val="both"/>
        <w:rPr/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>- Электроэнергия (схему размещения источников электропитания на период выполнения работ).</w:t>
      </w:r>
    </w:p>
    <w:p>
      <w:pPr>
        <w:pStyle w:val="Normal"/>
        <w:jc w:val="both"/>
        <w:rPr/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>- Помещения / площадки для размещения персонала Субподрядчика.</w:t>
      </w:r>
    </w:p>
    <w:p>
      <w:pPr>
        <w:pStyle w:val="Normal"/>
        <w:jc w:val="both"/>
        <w:rPr/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>- Складские помещения и / или площадки для погрузки / разгрузки / складирования / хранения МТР, оборудования Субподрядчика.</w:t>
      </w:r>
    </w:p>
    <w:p>
      <w:pPr>
        <w:pStyle w:val="Normal"/>
        <w:rPr>
          <w:b w:val="false"/>
        </w:rPr>
      </w:pPr>
      <w:r>
        <w:rPr>
          <w:b w:val="false"/>
        </w:rPr>
      </w:r>
    </w:p>
    <w:p>
      <w:pPr>
        <w:pStyle w:val="Heading4"/>
        <w:numPr>
          <w:ilvl w:val="1"/>
          <w:numId w:val="3"/>
        </w:numPr>
        <w:rPr/>
      </w:pPr>
      <w:bookmarkStart w:id="15" w:name="_Toc54646402"/>
      <w:bookmarkStart w:id="16" w:name="_Toc54646401"/>
      <w:bookmarkEnd w:id="16"/>
      <w:r>
        <w:rPr>
          <w:lang w:val="ru-RU"/>
        </w:rPr>
        <w:t xml:space="preserve">Иные требования и сведения общего характера </w:t>
      </w:r>
      <w:bookmarkEnd w:id="15"/>
    </w:p>
    <w:p>
      <w:pPr>
        <w:pStyle w:val="Heading3"/>
        <w:numPr>
          <w:ilvl w:val="2"/>
          <w:numId w:val="3"/>
        </w:numPr>
        <w:ind w:left="426" w:hanging="425"/>
        <w:jc w:val="both"/>
        <w:rPr>
          <w:rFonts w:ascii="Times New Roman" w:hAnsi="Times New Roman" w:eastAsia="Calibri" w:cs="Times New Roman"/>
          <w:b w:val="false"/>
          <w:i w:val="false"/>
          <w:i w:val="false"/>
          <w:iCs w:val="false"/>
          <w:color w:val="auto"/>
          <w:kern w:val="0"/>
          <w:sz w:val="24"/>
          <w:szCs w:val="24"/>
          <w:shd w:fill="auto" w:val="clear"/>
          <w:lang w:val="x-none" w:eastAsia="x-none" w:bidi="ar-SA"/>
        </w:rPr>
      </w:pPr>
      <w:r>
        <w:rPr>
          <w:rFonts w:eastAsia="Calibri" w:cs="Times New Roman"/>
          <w:b w:val="false"/>
          <w:i w:val="false"/>
          <w:iCs w:val="false"/>
          <w:color w:val="000000"/>
          <w:kern w:val="0"/>
          <w:sz w:val="24"/>
          <w:szCs w:val="24"/>
          <w:shd w:fill="auto" w:val="clear"/>
          <w:lang w:val="x-none" w:eastAsia="x-none" w:bidi="ar-SA"/>
        </w:rPr>
        <w:t xml:space="preserve">Субподрядчиком должны быть выполнены, указанные работы (с выделением их стоимости из комплекса работ по договорам) в суммарном объеме не менее чем 30% от начальной максимальной цены договора, за последние 5 (пять) лет, предшествующие дате окончания срока подачи заявок на участие в конкурентной закупке. Ранее реализованные договоры не должны иметь рекламаций в части указанных работ. </w:t>
      </w:r>
    </w:p>
    <w:p>
      <w:pPr>
        <w:pStyle w:val="Heading1"/>
        <w:keepNext w:val="true"/>
        <w:widowControl/>
        <w:numPr>
          <w:ilvl w:val="0"/>
          <w:numId w:val="3"/>
        </w:numPr>
        <w:suppressAutoHyphens w:val="true"/>
        <w:bidi w:val="0"/>
        <w:spacing w:before="120" w:after="60"/>
        <w:ind w:left="2948" w:right="0" w:hanging="0"/>
        <w:jc w:val="both"/>
        <w:rPr>
          <w:caps/>
          <w:lang w:val="ru-RU"/>
        </w:rPr>
      </w:pPr>
      <w:r>
        <w:rPr/>
        <w:t xml:space="preserve">Требования к выполняемым </w:t>
      </w:r>
      <w:r>
        <w:rPr>
          <w:rFonts w:eastAsia="Calibri" w:cs="Times New Roman"/>
          <w:b/>
          <w:color w:val="auto"/>
          <w:kern w:val="0"/>
          <w:sz w:val="28"/>
          <w:szCs w:val="28"/>
          <w:lang w:val="x-none" w:eastAsia="x-none" w:bidi="ar-SA"/>
        </w:rPr>
        <w:t>работам</w:t>
      </w:r>
    </w:p>
    <w:p>
      <w:pPr>
        <w:pStyle w:val="Heading4"/>
        <w:numPr>
          <w:ilvl w:val="1"/>
          <w:numId w:val="3"/>
        </w:numPr>
        <w:rPr/>
      </w:pPr>
      <w:bookmarkStart w:id="17" w:name="_Toc54646404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7"/>
    </w:p>
    <w:p>
      <w:pPr>
        <w:pStyle w:val="Heading3"/>
        <w:numPr>
          <w:ilvl w:val="2"/>
          <w:numId w:val="3"/>
        </w:numPr>
        <w:rPr/>
      </w:pPr>
      <w:bookmarkStart w:id="18" w:name="_Toc54646405"/>
      <w:r>
        <w:rPr/>
        <w:t>Требования к видам и объемам работ</w:t>
      </w:r>
      <w:bookmarkEnd w:id="18"/>
    </w:p>
    <w:p>
      <w:pPr>
        <w:pStyle w:val="Heading1"/>
        <w:numPr>
          <w:ilvl w:val="0"/>
          <w:numId w:val="0"/>
        </w:numPr>
        <w:ind w:left="0" w:hanging="0"/>
        <w:rPr>
          <w:sz w:val="24"/>
        </w:rPr>
      </w:pPr>
      <w:bookmarkStart w:id="19" w:name="_Toc54646406"/>
      <w:bookmarkStart w:id="20" w:name="_Toc51339695"/>
      <w:r>
        <w:rPr>
          <w:sz w:val="24"/>
        </w:rPr>
        <w:t xml:space="preserve">Таблица 2. Перечень </w:t>
      </w:r>
      <w:bookmarkEnd w:id="20"/>
      <w:r>
        <w:rPr>
          <w:sz w:val="24"/>
        </w:rPr>
        <w:t>и объем выполняемых работ</w:t>
      </w:r>
      <w:bookmarkEnd w:id="19"/>
    </w:p>
    <w:tbl>
      <w:tblPr>
        <w:tblW w:w="981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49"/>
        <w:gridCol w:w="4849"/>
        <w:gridCol w:w="1995"/>
        <w:gridCol w:w="2116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170" w:right="0" w:hanging="0"/>
              <w:contextualSpacing/>
              <w:jc w:val="left"/>
              <w:rPr/>
            </w:pPr>
            <w:r>
              <w:rPr/>
              <w:t xml:space="preserve">1.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8"/>
                <w:u w:val="none"/>
                <w:em w:val="none"/>
                <w:lang w:val="ru-RU" w:eastAsia="ru-RU" w:bidi="ar-SA"/>
              </w:rPr>
              <w:t>О</w:t>
            </w: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8"/>
                <w:u w:val="none"/>
                <w:em w:val="none"/>
                <w:lang w:val="ru-RU" w:eastAsia="ru-RU" w:bidi="ar-SA"/>
              </w:rPr>
              <w:t>К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8"/>
                <w:u w:val="none"/>
                <w:em w:val="none"/>
                <w:lang w:val="ru-RU" w:eastAsia="ru-RU" w:bidi="ar-SA"/>
              </w:rPr>
              <w:t>ПД2 43.21.10.170 Выполнение работ по проведению высоковольтных испытаний и пусконаладочных работ</w:t>
            </w:r>
            <w:r>
              <w:rPr>
                <w:rFonts w:eastAsia="Calibri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 xml:space="preserve"> АСУТП ячеек №1 и №4 (СШ1, СШ2) ЗРУ-220 кВ Колымской ГЭС имени Ю.И. Фриштера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iCs/>
                <w:sz w:val="24"/>
                <w:szCs w:val="24"/>
              </w:rPr>
              <w:t>В соответствии с о</w:t>
            </w:r>
            <w:r>
              <w:rPr>
                <w:sz w:val="24"/>
              </w:rPr>
              <w:t>бъёмом высоковольтных испытаний (Приложение №1 к настоящим ТТ).</w:t>
            </w:r>
          </w:p>
        </w:tc>
      </w:tr>
    </w:tbl>
    <w:p>
      <w:pPr>
        <w:pStyle w:val="Heading3"/>
        <w:numPr>
          <w:ilvl w:val="2"/>
          <w:numId w:val="3"/>
        </w:numPr>
        <w:rPr/>
      </w:pPr>
      <w:bookmarkStart w:id="21" w:name="_Toc54646407"/>
      <w:bookmarkStart w:id="22" w:name="_Toc51339696"/>
      <w:r>
        <w:rPr/>
        <w:t xml:space="preserve">Требования </w:t>
      </w:r>
      <w:bookmarkEnd w:id="22"/>
      <w:r>
        <w:rPr/>
        <w:t>к срокам выполнения работ</w:t>
      </w:r>
      <w:bookmarkEnd w:id="21"/>
    </w:p>
    <w:p>
      <w:pPr>
        <w:pStyle w:val="Heading1"/>
        <w:numPr>
          <w:ilvl w:val="0"/>
          <w:numId w:val="0"/>
        </w:numPr>
        <w:ind w:left="0" w:hanging="0"/>
        <w:rPr>
          <w:b w:val="false"/>
          <w:sz w:val="24"/>
          <w:lang w:val="ru-RU"/>
        </w:rPr>
      </w:pPr>
      <w:bookmarkStart w:id="23" w:name="_Toc54646408"/>
      <w:bookmarkStart w:id="24" w:name="_Toc50125127"/>
      <w:bookmarkStart w:id="25" w:name="_Toc51339697"/>
      <w:bookmarkStart w:id="26" w:name="_Toc50125126_Копия_1"/>
      <w:bookmarkEnd w:id="26"/>
      <w:r>
        <w:rPr>
          <w:b w:val="false"/>
          <w:sz w:val="24"/>
          <w:lang w:val="ru-RU"/>
        </w:rPr>
        <w:t>Работы выполняются поэтапно согласно Таблице 3 настоящих ТТ.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lang w:val="ru-RU"/>
        </w:rPr>
      </w:pPr>
      <w:r>
        <w:rPr>
          <w:sz w:val="24"/>
        </w:rPr>
        <w:t xml:space="preserve">Таблица </w:t>
      </w:r>
      <w:r>
        <w:rPr>
          <w:sz w:val="24"/>
          <w:lang w:val="ru-RU"/>
        </w:rPr>
        <w:t>3</w:t>
      </w:r>
      <w:r>
        <w:rPr>
          <w:sz w:val="24"/>
        </w:rPr>
        <w:t xml:space="preserve">. </w:t>
      </w:r>
      <w:bookmarkStart w:id="27" w:name="_Hlk50465284"/>
      <w:r>
        <w:rPr>
          <w:sz w:val="24"/>
        </w:rPr>
        <w:t xml:space="preserve">Требования по срокам </w:t>
      </w:r>
      <w:bookmarkEnd w:id="24"/>
      <w:bookmarkEnd w:id="25"/>
      <w:bookmarkEnd w:id="27"/>
      <w:r>
        <w:rPr>
          <w:sz w:val="24"/>
          <w:lang w:val="ru-RU"/>
        </w:rPr>
        <w:t>выполнения этапов работ</w:t>
      </w:r>
      <w:bookmarkEnd w:id="23"/>
    </w:p>
    <w:tbl>
      <w:tblPr>
        <w:tblpPr w:bottomFromText="0" w:horzAnchor="margin" w:leftFromText="180" w:rightFromText="180" w:tblpX="0" w:tblpY="310" w:topFromText="0" w:vertAnchor="text"/>
        <w:tblW w:w="991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4"/>
        <w:gridCol w:w="4111"/>
        <w:gridCol w:w="2563"/>
        <w:gridCol w:w="2539"/>
      </w:tblGrid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этапа работ*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этапа работ*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hi-IN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hi-IN"/>
              </w:rPr>
              <w:t>ВВИ ячейки №1, №4 (1СШ, 2СШ)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hi-IN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hi-IN"/>
              </w:rPr>
              <w:t>С даты подписания договора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auto"/>
                <w:sz w:val="24"/>
                <w:szCs w:val="24"/>
                <w:highlight w:val="none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30.11.2026</w:t>
            </w:r>
          </w:p>
        </w:tc>
      </w:tr>
      <w:tr>
        <w:trPr>
          <w:trHeight w:val="339" w:hRule="atLeast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rPr/>
            </w:pPr>
            <w:r>
              <w:rPr/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6" w:leader="none"/>
              </w:tabs>
              <w:suppressAutoHyphens w:val="tru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hi-IN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hi-IN"/>
              </w:rPr>
              <w:t>ПНР АСУТП ячейки №1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en-US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01.08.2026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auto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en-US" w:eastAsia="ru-RU" w:bidi="ar-SA"/>
              </w:rPr>
              <w:t>30.11.2026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0" w:leader="none"/>
        </w:tabs>
        <w:spacing w:before="120" w:after="120"/>
        <w:ind w:left="0" w:right="0" w:hanging="0"/>
        <w:contextualSpacing/>
        <w:jc w:val="both"/>
        <w:rPr>
          <w:sz w:val="24"/>
          <w:szCs w:val="24"/>
        </w:rPr>
      </w:pPr>
      <w:bookmarkStart w:id="28" w:name="_Toc46743510_Копия_3"/>
      <w:r>
        <w:rPr>
          <w:sz w:val="24"/>
          <w:szCs w:val="24"/>
        </w:rPr>
        <w:t>*</w:t>
      </w:r>
      <w:bookmarkEnd w:id="28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Примечание:</w:t>
      </w:r>
      <w:r>
        <w:rPr>
          <w:sz w:val="24"/>
          <w:szCs w:val="24"/>
        </w:rPr>
        <w:t xml:space="preserve"> Даты начала и окончания по Этапам указаны с учетом согласованного перспективного графика вывода в ремонт оборудования для модернизации оборудования ЗРУ 220 кВ Колымской ГЭС. Перспективный график согласован с ПАО «Магаданэнерго».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Отклонения от даты начала и окончания по Этапам возможны в случаях: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- Внесение изменений в сроки вывода в ремонт оборудования, при внесении изменений со стороны ПАО «Магаданэнерго» и АО «СО ЕЭС» в линейный график вывода в ремонт оборудования на соответствующий год выполнения работ по Этапам. При получении корректировок от согласующих организаций Подрядчик незамедлительно уведомит Субподрядчика.</w:t>
      </w:r>
    </w:p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w="11906" w:h="16838"/>
          <w:pgMar w:left="1134" w:right="622" w:gutter="0" w:header="680" w:top="1134" w:footer="737" w:bottom="992"/>
          <w:pgNumType w:fmt="decimal"/>
          <w:formProt w:val="false"/>
          <w:textDirection w:val="lrTb"/>
          <w:docGrid w:type="default" w:linePitch="360" w:charSpace="0"/>
        </w:sectPr>
        <w:pStyle w:val="ListParagraph"/>
        <w:widowControl w:val="false"/>
        <w:tabs>
          <w:tab w:val="clear" w:pos="708"/>
          <w:tab w:val="left" w:pos="0" w:leader="none"/>
        </w:tabs>
        <w:spacing w:before="120" w:after="120"/>
        <w:ind w:left="0" w:right="0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При обоснованном отклонении допустимо в период выполнения работ и при получении согласования от ПАО «Магаданэнерго» на продление периода ремонта оборудования, временного простоя или вывод в ремонт в другой согласованный период с учетом обеспечения надежности и бесперебойности энергоснабжения изолированной энергосистемы Магаданской области. При этом возникающие обоснованные отклонения по инициативе Подрядчика должны быть заблаговременно направлены в адрес Заказчика на официальном бланке или зафиксированы протоколом технического совещания, информация о необходимости изменения сроков должна быть с указанием причин и обоснований со стороны Подрядчика. Согласование с ПАО «Магаданэнерго» и другими организациями выполня</w:t>
      </w:r>
      <w:bookmarkStart w:id="29" w:name="_Toc46743510"/>
      <w:r>
        <w:rPr>
          <w:sz w:val="24"/>
          <w:szCs w:val="24"/>
        </w:rPr>
        <w:t>е</w:t>
      </w:r>
      <w:bookmarkEnd w:id="29"/>
      <w:r>
        <w:rPr>
          <w:sz w:val="24"/>
          <w:szCs w:val="24"/>
        </w:rPr>
        <w:t>т Заказчик.</w:t>
      </w:r>
    </w:p>
    <w:p>
      <w:pPr>
        <w:pStyle w:val="Heading4"/>
        <w:numPr>
          <w:ilvl w:val="1"/>
          <w:numId w:val="3"/>
        </w:numPr>
        <w:rPr/>
      </w:pPr>
      <w:bookmarkStart w:id="30" w:name="_Toc54646410"/>
      <w:bookmarkStart w:id="31" w:name="_Toc50125131"/>
      <w:bookmarkStart w:id="32" w:name="_Toc51339698"/>
      <w:r>
        <w:rPr/>
        <w:t xml:space="preserve">Требования к </w:t>
      </w:r>
      <w:r>
        <w:rPr>
          <w:lang w:val="ru-RU"/>
        </w:rPr>
        <w:t>качеству работ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</w:rPr>
      </w:pPr>
      <w:r>
        <w:rPr>
          <w:sz w:val="24"/>
        </w:rPr>
        <w:t>Таблица </w:t>
      </w:r>
      <w:r>
        <w:rPr>
          <w:sz w:val="24"/>
          <w:lang w:val="ru-RU"/>
        </w:rPr>
        <w:t>4</w:t>
      </w:r>
      <w:r>
        <w:rPr>
          <w:sz w:val="24"/>
        </w:rPr>
        <w:t xml:space="preserve">. Требования к </w:t>
      </w:r>
      <w:bookmarkEnd w:id="31"/>
      <w:bookmarkEnd w:id="32"/>
      <w:r>
        <w:rPr>
          <w:sz w:val="24"/>
          <w:lang w:val="ru-RU"/>
        </w:rPr>
        <w:t>качеству работ</w:t>
      </w:r>
      <w:bookmarkEnd w:id="30"/>
      <w:r>
        <w:rPr>
          <w:sz w:val="24"/>
        </w:rPr>
        <w:t xml:space="preserve"> </w:t>
      </w:r>
    </w:p>
    <w:p>
      <w:pPr>
        <w:pStyle w:val="Normal"/>
        <w:snapToGrid w:val="false"/>
        <w:spacing w:before="0" w:after="120"/>
        <w:jc w:val="both"/>
        <w:rPr>
          <w:rStyle w:val="Style8"/>
          <w:b w:val="false"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>
        <w:rPr>
          <w:rStyle w:val="Style8"/>
          <w:rFonts w:eastAsia="Calibri" w:cs="Times New Roman"/>
          <w:b w:val="false"/>
          <w:bCs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О</w:t>
      </w:r>
      <w:r>
        <w:rPr>
          <w:rStyle w:val="Style8"/>
          <w:rFonts w:eastAsia="Calibri" w:cs="Times New Roman"/>
          <w:b w:val="false"/>
          <w:bCs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К</w:t>
      </w:r>
      <w:r>
        <w:rPr>
          <w:rStyle w:val="Style8"/>
          <w:rFonts w:eastAsia="Calibri" w:cs="Times New Roman"/>
          <w:b w:val="false"/>
          <w:bCs/>
          <w:i w:val="false"/>
          <w:iCs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ПД2 43.21.10.170 Выполнение работ по проведению высоковольтных испытаний и пусконаладочных работ</w:t>
      </w:r>
      <w:r>
        <w:rPr>
          <w:rStyle w:val="Style8"/>
          <w:rFonts w:eastAsia="Calibri" w:cs="Times New Roman"/>
          <w:b w:val="false"/>
          <w:bCs/>
          <w:i w:val="false"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АСУТП ячеек №1 и №4 (СШ1, СШ2) ЗРУ-220 кВ Колымской ГЭС имени Ю.И. Фриштера</w:t>
      </w:r>
    </w:p>
    <w:tbl>
      <w:tblPr>
        <w:tblStyle w:val="af"/>
        <w:tblW w:w="1533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61"/>
        <w:gridCol w:w="2"/>
        <w:gridCol w:w="3643"/>
        <w:gridCol w:w="8001"/>
      </w:tblGrid>
      <w:tr>
        <w:trPr/>
        <w:tc>
          <w:tcPr>
            <w:tcW w:w="106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645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800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0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выполнению работ 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800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Работы выполняются в соответствии со следующими документами, но не ограничиваясь ими: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Правила по охране труда при эксплуатации электроустановок, утвержденные приказом Минтруда и соц. Защиты РФ от 15.12.2020 г. №903н;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Правила по охране труда при работе на высоте, утвержденные Приказом </w:t>
            </w: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Минтруда и соц. Защиты РФ от 16.11.2020 г. №782н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Правила технической эксплуатации электрических станций и сетей Российской Федерации, утвержденные Приказом Минэнерго России №1070 от 04.10.2022;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Правила устройства электроустановок, издание 7-е, утвержденные приказом Минэнерго России от 08.07.2002 № 204;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Приказ Минтруда </w:t>
            </w:r>
            <w:r>
              <w:rPr>
                <w:rFonts w:eastAsia="Times New Roman" w:cs="Times New Roman"/>
                <w:kern w:val="0"/>
                <w:sz w:val="24"/>
                <w:lang w:val="ru-RU" w:eastAsia="ru-RU" w:bidi="ar-SA"/>
              </w:rPr>
              <w:t>и соц. Защиты РФ от 28.10.2020 г. №753н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 «Об утверждении Правил по охране труда при погрузочно-разгрузочных работах и размещении грузов»;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Правила безопасности при работе с инструментом и приспособлениями, утвержденные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приказом Минтруда и соц. Защиты РФ от 27.11.2020 г. №835н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; 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«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Правила противопожарного режима в Российской Федерации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утверждены постановлением Правительства РФ от 16.09.2020 №1479 (с изм. от 21.05.2021)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Положение о Технической политике ПАО «РусГидро»;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Конструкторская документация на оборудование будет предоставлена Подрядчику в рамках выполнения работ по договору;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Свод правил 76.13330.2016 «Электротехнические устройства»;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Объемы и нормы испытаний электрооборудования РД 34.45-51.300-97;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Федеральный закон № 89-ФЗ от 24.06.1998 «Об отходах производства и потребления»;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Федеральный закон N 7-ФЗ от 10.01.2002 «Об охране окружающей среды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contextualSpacing/>
              <w:jc w:val="both"/>
              <w:rPr/>
            </w:pPr>
            <w:r>
              <w:rPr>
                <w:rFonts w:cs="Times New Roman"/>
                <w:kern w:val="0"/>
                <w:lang w:val="ru-RU" w:eastAsia="ru-RU" w:bidi="ar-SA"/>
              </w:rPr>
              <w:t>Порядок проведения паспортизации отходов I - IV классов опасности, утвержденный приказом Минприроды России от 08.12.2020 г. №1026;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contextualSpacing/>
              <w:jc w:val="both"/>
              <w:rPr/>
            </w:pPr>
            <w:r>
              <w:rPr>
                <w:rFonts w:eastAsia="Calibri"/>
                <w:sz w:val="24"/>
                <w:szCs w:val="24"/>
                <w:lang w:eastAsia="en-US"/>
              </w:rPr>
              <w:t>Приказ Минстроя России от 16.05.2023 г.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sz w:val="24"/>
                <w:szCs w:val="24"/>
              </w:rPr>
              <w:t>.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0" w:after="0"/>
              <w:ind w:left="292" w:hanging="360"/>
              <w:contextualSpacing/>
              <w:jc w:val="both"/>
              <w:rPr/>
            </w:pP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bidi="ar-SA"/>
              </w:rPr>
              <w:t>Заводскими инструкциями и руководством по использованию применяемых материалов, оборудования.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 по допуску персонала Субподрядчика</w:t>
            </w:r>
          </w:p>
        </w:tc>
        <w:tc>
          <w:tcPr>
            <w:tcW w:w="800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Допуск персонала Субподрядчика для выполнения Работ осуществляется в соответствии с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Правилами по охране труда при эксплуатации электроустановок, утвержденными приказом Минтруда России от 15.12.2020 № 903н, и «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shd w:fill="auto" w:val="clear"/>
                <w:lang w:val="ru-RU" w:eastAsia="x-none" w:bidi="ar-SA"/>
              </w:rPr>
              <w:t xml:space="preserve">Методикой допуска персонала подрядных организаций к выполнению работ на объектах Общества». </w:t>
            </w:r>
            <w:r>
              <w:rPr>
                <w:rFonts w:eastAsia="Calibri" w:cs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x-none" w:bidi="ar-SA"/>
              </w:rPr>
              <w:t>(Приложение №2 к настоящим ТТ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shd w:fill="auto" w:val="clear"/>
                <w:lang w:val="ru-RU" w:eastAsia="x-none" w:bidi="ar-SA"/>
              </w:rPr>
              <w:t>)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Style w:val="Hyperlink"/>
                <w:rFonts w:eastAsia="Times New Roman" w:cs="Times New Roman"/>
                <w:b w:val="false"/>
                <w:bCs/>
                <w:color w:val="00000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- Подготовку рабочих мест и допуск к выполнению работ выполняет персонал Заказчика.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разработке и согласованию проекта производства работ</w:t>
            </w:r>
          </w:p>
        </w:tc>
        <w:tc>
          <w:tcPr>
            <w:tcW w:w="8001" w:type="dxa"/>
            <w:tcBorders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Субподрядчик собственными силами разрабатывает ППР и ППИ на Работы, утверждает его и согласовывает с Заказчиком. Субподрядчик предоставляет на согласование Заказчику ППР и ППИ в формате pdf официальным письмом. Заказчик в течение 3 рабочих дней рассматривает предоставленный ППР и ППИ, и официальным письмом уведомляет Субподрядчика о согласовании или направляет замечания. Субподрядчик, получив замечания, в течение 3 рабочих дней устраняет замечания и направляет официальным письмом на согласование. </w:t>
            </w:r>
            <w:r>
              <w:rPr>
                <w:rFonts w:cs="Times New Roman"/>
                <w:iCs/>
                <w:kern w:val="0"/>
                <w:sz w:val="24"/>
                <w:szCs w:val="24"/>
                <w:lang w:val="ru-RU" w:eastAsia="ru-RU" w:bidi="ar-SA"/>
              </w:rPr>
              <w:t>После завершения процесса согласования и утверждения ППР и ППИ Субподрядчик должен передать Заказчику ППР и ППИ на бумажном носителе в 3 (трех) экземплярах для подписания и выдачи его в производство, не позднее чем за 15 (пятнадцать) рабочих дней до начала производства Работ.</w:t>
            </w:r>
            <w:r>
              <w:rPr>
                <w:sz w:val="24"/>
                <w:szCs w:val="24"/>
              </w:rPr>
              <w:t xml:space="preserve"> ППР на выполнение Работ разрабатывается в соответствии с МДС 12-81.2007 «Методические рекомендации по разработке и оформлению проекта организации строительства и проекта производства работ» и МДС 12-29.2006 «Методические рекомендации по разработке и оформлению технологической карты»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8001" w:type="dxa"/>
            <w:tcBorders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b w:val="false"/>
                <w:kern w:val="0"/>
                <w:sz w:val="24"/>
                <w:szCs w:val="24"/>
                <w:lang w:bidi="ar-SA"/>
              </w:rPr>
              <w:t>Работы выполняются в соответствии утвержденным проектом производства работ (ППР) и программой проведения испытаний (ППИ)</w:t>
            </w:r>
            <w:r>
              <w:rPr>
                <w:rFonts w:cs="Times New Roman"/>
                <w:b w:val="false"/>
                <w:kern w:val="0"/>
                <w:sz w:val="24"/>
                <w:szCs w:val="24"/>
                <w:lang w:val="ru-RU" w:bidi="ar-SA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техники безопасности при проведении работ – 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с Заказчиком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Инженерная подготовка и оборудование рабочей площадки, монтаж ограждений, переходов, лестниц и т.д.. выполняется Субподрядчиком.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1.3.1.</w:t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используемым запасным частям и материалам</w:t>
            </w:r>
          </w:p>
        </w:tc>
        <w:tc>
          <w:tcPr>
            <w:tcW w:w="800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Оборудование, измерительные приборы, необходимое для выполнения работ, поставляются силами Субподрядчика.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Субподрядчик самостоятельно обеспечивает наличие необходимого для выполнения работ инструмента и приспособлений. Субподрядчик должен иметь в собственности или на правах аренды весь необходимый для выполнения работ инструмент, оборудование, машины и механизмы.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Все необходимые специальные работы (включая доставки необходимого оборудования и техники, материалов, аппаратуры) организуются и выполняются Субподрядчиком за счёт собственных средств.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1.3.2.</w:t>
            </w:r>
          </w:p>
        </w:tc>
        <w:tc>
          <w:tcPr>
            <w:tcW w:w="3643" w:type="dxa"/>
            <w:tcBorders>
              <w:top w:val="nil"/>
              <w:right w:val="nil"/>
            </w:tcBorders>
            <w:vAlign w:val="cente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Минимальные требования к аппаратуре</w:t>
            </w:r>
          </w:p>
        </w:tc>
        <w:tc>
          <w:tcPr>
            <w:tcW w:w="800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Аппаратура используемая при проведении обследований должна быть сертифицирована уполномоченными и аккредитованными организациями, и службами, действующими на территории РФ.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контролю работ</w:t>
            </w:r>
          </w:p>
        </w:tc>
        <w:tc>
          <w:tcPr>
            <w:tcW w:w="8001" w:type="dxa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6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Заказчик и Подрядчик имеет право контролировать ход и качество выполняемых работ в течение всего времени выполнения работ</w:t>
            </w:r>
            <w:r>
              <w:rPr>
                <w:rFonts w:eastAsia="Times New Roman" w:cs="Times New Roman"/>
                <w:color w:val="1A1A1A"/>
                <w:kern w:val="0"/>
                <w:sz w:val="24"/>
                <w:szCs w:val="24"/>
                <w:lang w:val="ru-RU" w:eastAsia="ru-RU" w:bidi="ar-SA"/>
              </w:rPr>
              <w:t xml:space="preserve">.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Текущий контроль выполняемых работ должен включать в себя надзор за правильностью и последовательностью выполнения отдельных технологических операций.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Субподрядчика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Субподрядной организации, привлекаемой к выполнению работ</w:t>
            </w:r>
          </w:p>
        </w:tc>
        <w:tc>
          <w:tcPr>
            <w:tcW w:w="80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x-none" w:eastAsia="x-none" w:bidi="ar-SA"/>
              </w:rPr>
              <w:t>Субподрядчик</w:t>
            </w:r>
            <w:r>
              <w:rPr>
                <w:color w:val="000000"/>
                <w:kern w:val="0"/>
                <w:sz w:val="24"/>
                <w:szCs w:val="24"/>
                <w:lang w:val="ru-RU" w:bidi="ar-SA"/>
              </w:rPr>
              <w:t xml:space="preserve"> обязан: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kern w:val="0"/>
                <w:sz w:val="24"/>
                <w:szCs w:val="24"/>
                <w:shd w:fill="auto" w:val="clear"/>
                <w:lang w:val="ru-RU" w:bidi="ar-SA"/>
              </w:rPr>
              <w:t>- соблюдать технологическую, производственную и трудовую дисциплину;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а также все прочие законы и нормативные акты, относящиеся к сфере деятельности;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" w:leader="none"/>
                <w:tab w:val="left" w:pos="517" w:leader="none"/>
              </w:tabs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 направлять на объекты Заказчика работников, обученных правилам безопасного ведения работ и имеющих все необходимые допуски к выполнению работ, а также представлять документы на русском языке, подтверждающие аттестацию работников на проведение соответствующих видов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" w:leader="none"/>
                <w:tab w:val="left" w:pos="517" w:leader="none"/>
              </w:tabs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 проводить своевременную (ежедневную) уборку рабочих мест;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" w:leader="none"/>
                <w:tab w:val="left" w:pos="517" w:leader="none"/>
              </w:tabs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kern w:val="0"/>
                <w:sz w:val="24"/>
                <w:szCs w:val="24"/>
                <w:shd w:fill="auto" w:val="clear"/>
                <w:lang w:val="ru-RU" w:bidi="ar-SA"/>
              </w:rPr>
              <w:t>- проживание, питание, доставку оборудования и персонала на объект, а также командировочные расходы организовывать за свой счет.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Квалификация персонала Субподрядчика, привлекаемого к выполнению работ</w:t>
            </w:r>
          </w:p>
        </w:tc>
        <w:tc>
          <w:tcPr>
            <w:tcW w:w="800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Квалификация персонала должна соответствовать: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- Статья 14.1.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Федеральный закон от 21.07.1997 N 116-ФЗ (ред. от 14.11.2023) «О промышленной безопасности опасных производственных объектов»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татья 28.1. Федеральный закон от 26.03.2003 N 35-ФЗ (ред. от 14.02.2024) «Об электроэнергетике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п.1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 Постановление Правительства РФ от 13.01.2023 N 13 «Об аттестации в области промышленной безопасности, по вопросам безопасности гидротехнических сооружений, безопасности в сфере электроэнергетики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Для в</w:t>
            </w:r>
            <w:r>
              <w:rPr>
                <w:rFonts w:eastAsia="Calibri" w:cs="Times New Roman"/>
                <w:spacing w:val="-6"/>
                <w:kern w:val="0"/>
                <w:sz w:val="24"/>
                <w:szCs w:val="24"/>
                <w:lang w:val="ru-RU" w:eastAsia="x-none" w:bidi="ar-SA"/>
              </w:rPr>
              <w:t>ыполнения работ по проведению высоковольтных испытаний и измерений р</w:t>
            </w:r>
            <w:r>
              <w:rPr>
                <w:rFonts w:eastAsia="Times New Roman" w:cs="Times New Roman"/>
                <w:spacing w:val="-6"/>
                <w:kern w:val="0"/>
                <w:sz w:val="24"/>
                <w:szCs w:val="24"/>
                <w:lang w:val="ru-RU" w:eastAsia="ru-RU" w:bidi="ar-SA"/>
              </w:rPr>
              <w:t>уководители, специалисты и инженерно-технические работники должны быть атте</w:t>
            </w: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>стованы в следующей области: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– </w:t>
            </w: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>А1 (общие требования промышленной безопасности);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both"/>
              <w:rPr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После заключения договора, но не позднее даты начала выполнения работ, </w:t>
            </w:r>
            <w:r>
              <w:rPr>
                <w:rFonts w:eastAsia="Calibri" w:cs="Times New Roman"/>
                <w:b w:val="false"/>
                <w:bCs w:val="false"/>
                <w:color w:val="000000"/>
                <w:spacing w:val="-6"/>
                <w:kern w:val="0"/>
                <w:sz w:val="24"/>
                <w:szCs w:val="24"/>
                <w:lang w:val="x-none" w:eastAsia="x-none" w:bidi="ar-SA"/>
              </w:rPr>
              <w:t>Субподрядчик</w:t>
            </w:r>
            <w:r>
              <w:rPr>
                <w:rFonts w:eastAsia="Times New Roman" w:cs="Times New Roman"/>
                <w:b w:val="false"/>
                <w:bCs w:val="false"/>
                <w:spacing w:val="-6"/>
                <w:kern w:val="0"/>
                <w:sz w:val="24"/>
                <w:szCs w:val="24"/>
                <w:lang w:val="ru-RU" w:eastAsia="ru-RU" w:bidi="ar-SA"/>
              </w:rPr>
              <w:t xml:space="preserve"> обязан предоставить протоколы о прохождении аттестации и копии удостоверений и протоколов проверки знаний правил работы в электроустановках.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800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1. Допуск персонала </w:t>
            </w:r>
            <w:r>
              <w:rPr>
                <w:rFonts w:eastAsia="Calibri" w:cs="Times New Roman"/>
                <w:kern w:val="0"/>
                <w:sz w:val="24"/>
                <w:szCs w:val="24"/>
                <w:lang w:val="x-none" w:eastAsia="x-none" w:bidi="ar-SA"/>
              </w:rPr>
              <w:t>Субподрядчика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на территорию осуществляется после: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проведение вводного инструктажа по охране труда, пожарной безопасности, инструктаж по ГО и ЧС на территории (при проведении инструктажей в обязательном порядке наличие протоколов по проверке знаний для всего персонала, копии приказов о трудоустройстве с подтверждением о занимаемой должности и сроках трудоустройства, документов прохождения медосмотра и психиатрического освидетельствования, заверенными руководителем организации / уполномоченным лицом в СОТ);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проведения первичного инструктажа на рабочем месте.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2.  После подписания договора, но не менее чем за 10 дней до начала выполнения работ </w:t>
            </w:r>
            <w:r>
              <w:rPr>
                <w:rFonts w:eastAsia="Calibri" w:cs="Times New Roman"/>
                <w:kern w:val="0"/>
                <w:sz w:val="24"/>
                <w:szCs w:val="24"/>
                <w:lang w:val="x-none" w:eastAsia="x-none" w:bidi="ar-SA"/>
              </w:rPr>
              <w:t xml:space="preserve">Субподрядчик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предоставляет Подрядчику: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ind w:left="57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- список (утвержденный распорядительным документом)  инженерно-технических специалистов, прошедших поверку знаний в соответствии с требованиями регламентирующих документов, имеющих удостоверения установленной формы и обеспечивающих в процессе выполнения работ: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ind w:left="113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- копию Приказа о назначении ответственного за соблюдение требований природоохранного законодательства Российской Федерации;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before="0" w:after="0"/>
              <w:ind w:left="170" w:hanging="0"/>
              <w:contextualSpacing/>
              <w:jc w:val="both"/>
              <w:rPr>
                <w:b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- список (утвержденный распорядительным документом) ответственных лиц при работах по наряду-допуску и распоряжению, при выполнении специальных работ (по шаблону Заказчика).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3. Установленный противопожарный и внутриобъектовый режим на предприятии Заказчика является обязательным для персонала </w:t>
            </w:r>
            <w:r>
              <w:rPr>
                <w:rFonts w:eastAsia="Calibri" w:cs="Times New Roman"/>
                <w:kern w:val="0"/>
                <w:sz w:val="24"/>
                <w:szCs w:val="24"/>
                <w:lang w:val="x-none" w:eastAsia="x-none" w:bidi="ar-SA"/>
              </w:rPr>
              <w:t>Субподрядчика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и должен строго выполняться.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При выполнении работ необходимо обеспечить безопасность зданий, сооружений, оборудования и работников, находящихся в зоне производства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5. При выполнении Работ 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lang w:val="x-none" w:eastAsia="x-none" w:bidi="ar-SA"/>
              </w:rPr>
              <w:t>Субподрядчику необходимо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исключить падение монтируемых конструкций, оборудования;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обеспечить безопасность персонала Заказчика, собственного персонала, персонала подрядных организаций, находящегося в зоне выполнения работ в период производства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75" w:leader="none"/>
                <w:tab w:val="left" w:pos="670" w:leader="none"/>
                <w:tab w:val="left" w:pos="8640" w:leader="none"/>
              </w:tabs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организаций, находящихся в зоне выполнения работ в период производства работ.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 экологической безопасности</w:t>
            </w:r>
          </w:p>
        </w:tc>
        <w:tc>
          <w:tcPr>
            <w:tcW w:w="800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x-none" w:eastAsia="x-none" w:bidi="ar-SA"/>
              </w:rPr>
              <w:t>Субподрядчик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на объекте должен выполнять требования законодательства в области охраны окружающей среды.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Результат работ</w:t>
            </w:r>
          </w:p>
        </w:tc>
        <w:tc>
          <w:tcPr>
            <w:tcW w:w="800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Выполнение ВВИ и ПНР АСУТП ячеек №1 и №4 (СШ1, СШ2) ЗРУ-220 кВ Колымской ГЭС имени Ю.И. Фриштера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(Приложение №1 к настоящим ТТ).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отчётной документации</w:t>
            </w:r>
          </w:p>
        </w:tc>
        <w:tc>
          <w:tcPr>
            <w:tcW w:w="80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Субподрядчик предоставляет Подрядчику исполнительную документацию;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протоколы испытаний,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- акты скрытых работ,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технические отчеты,</w:t>
            </w:r>
            <w:r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- акты выполненных работ КС-2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</w:t>
            </w:r>
            <w:r>
              <w:rPr>
                <w:rFonts w:eastAsia="Times New Roman" w:cs="Times New Roman"/>
                <w:color w:val="FF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количестве двух экземпляров на бумажном носителе информации, содержащих оригинальные подписи и печати, и один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экземпляр на электронном носителе информации (цветная скан-копия бумажного экземпляра).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Перечень Актов и протоколов может уточняться Субподрядчиком у Заказчика за 10 дней до начала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jc w:val="both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Оформление отчётной документации по выполненным работам в соответствии с требованиями регламентирующих документов: СП 68.13330.2017 «Приемка в эксплуатацию законченных строительством объектов. Основные положения», «Правил технической эксплуатации электрических станций и сетей РФ» утвержденные приказом Минэнерго России от 19 июня 2003 года N 229. Приказ Минстроя России от 16.05.2023 г.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  <w:vAlign w:val="cente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об ответственности Субподрядчика за недостатки</w:t>
            </w:r>
          </w:p>
        </w:tc>
        <w:tc>
          <w:tcPr>
            <w:tcW w:w="80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/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4"/>
                <w:lang w:val="ru-RU" w:eastAsia="ru-RU" w:bidi="ar-SA"/>
              </w:rPr>
              <w:t>Все замечания, указания, предписания надзорных органов, предъявленные Заказчику по качеству выполнения Работ во время выполнения Работ, устраняются Субподрядчиком в указанные сроки за счет собственных средств.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164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</w:tr>
      <w:tr>
        <w:trPr/>
        <w:tc>
          <w:tcPr>
            <w:tcW w:w="1063" w:type="dxa"/>
            <w:gridSpan w:val="2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Общие требования</w:t>
            </w:r>
          </w:p>
        </w:tc>
        <w:tc>
          <w:tcPr>
            <w:tcW w:w="800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85" w:leader="none"/>
                <w:tab w:val="left" w:pos="1134" w:leader="none"/>
              </w:tabs>
              <w:suppressAutoHyphens w:val="true"/>
              <w:bidi w:val="0"/>
              <w:spacing w:before="0" w:after="0"/>
              <w:ind w:left="57" w:right="0" w:hanging="0"/>
              <w:contextualSpacing/>
              <w:jc w:val="both"/>
              <w:rPr/>
            </w:pP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Заказчик оставляет за собой право корректировать объемы работ, не превышающие установленного лимита по договору с письменного уведомления Субподрядчика.</w:t>
            </w:r>
          </w:p>
        </w:tc>
      </w:tr>
      <w:tr>
        <w:trPr/>
        <w:tc>
          <w:tcPr>
            <w:tcW w:w="1063" w:type="dxa"/>
            <w:gridSpan w:val="2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643" w:type="dxa"/>
            <w:tcBorders>
              <w:top w:val="nil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Требования к срокам и гарантии</w:t>
            </w:r>
          </w:p>
        </w:tc>
        <w:tc>
          <w:tcPr>
            <w:tcW w:w="8001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suppressAutoHyphens w:val="true"/>
              <w:bidi w:val="0"/>
              <w:spacing w:before="0" w:after="0"/>
              <w:ind w:left="113" w:righ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x-none" w:eastAsia="x-none" w:bidi="ar-SA"/>
              </w:rPr>
              <w:t>Субподрядчик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гарантирует выполнить </w:t>
            </w:r>
            <w:r>
              <w:rPr>
                <w:rFonts w:eastAsia="Calibri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строительно монтажные и пусконаладочные работы электротехнического оборудования ячейки № 1 и №4 (СШЙ, СШ2) ЗРУ-220 кВ Колымской ГЭС имени Ю.И. Фриштера п</w:t>
            </w:r>
            <w:r>
              <w:rPr>
                <w:rFonts w:eastAsia="GOSTTypeA" w:cs="Times New Roman"/>
                <w:color w:val="000000"/>
                <w:kern w:val="0"/>
                <w:sz w:val="24"/>
                <w:szCs w:val="24"/>
                <w:lang w:val="ru-RU" w:eastAsia="x-none" w:bidi="ar-SA"/>
              </w:rPr>
              <w:t xml:space="preserve">осле монтажа в 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полном объёме и с надлежащим качеством, в сроки, указанные в настоящем Техническом задании (таблица 3), в соответствии с требованиями настоящего Технического задания и действующих нормативных документов.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13" w:hanging="51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- Гарантийный срок на результат работ должен составлять не менее 12 месяцев с даты подписания Акта о приемке выполненных работ КС-2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0"/>
          <w:footerReference w:type="first" r:id="rId11"/>
          <w:type w:val="nextPage"/>
          <w:pgSz w:orient="landscape" w:w="16838" w:h="11906"/>
          <w:pgMar w:left="992" w:right="567" w:gutter="0" w:header="680" w:top="851" w:footer="737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bookmarkStart w:id="33" w:name="_Toc54643137"/>
      <w:bookmarkStart w:id="34" w:name="_Toc54618151"/>
      <w:bookmarkStart w:id="35" w:name="_Toc54279844"/>
      <w:r>
        <w:rPr/>
        <w:t>Требования к документации по</w:t>
      </w:r>
      <w:r>
        <w:rPr>
          <w:lang w:val="ru-RU"/>
        </w:rPr>
        <w:t xml:space="preserve"> </w:t>
      </w:r>
      <w:r>
        <w:rPr/>
        <w:t>ценообразованию на этапе закупки</w:t>
      </w:r>
      <w:bookmarkEnd w:id="33"/>
      <w:bookmarkEnd w:id="34"/>
      <w:bookmarkEnd w:id="35"/>
    </w:p>
    <w:p>
      <w:pPr>
        <w:pStyle w:val="ListParagraph"/>
        <w:spacing w:before="80" w:after="0"/>
        <w:ind w:left="-142" w:firstLine="426"/>
        <w:contextualSpacing/>
        <w:jc w:val="both"/>
        <w:rPr>
          <w:rFonts w:eastAsia="MS PGothic"/>
          <w:lang w:eastAsia="ja-JP"/>
        </w:rPr>
      </w:pPr>
      <w:r>
        <w:rPr>
          <w:rFonts w:eastAsia="MS PGothic"/>
          <w:lang w:eastAsia="ja-JP"/>
        </w:rPr>
        <w:t xml:space="preserve">3.1. </w:t>
      </w:r>
      <w:r>
        <w:rPr>
          <w:iCs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</w:t>
      </w:r>
      <w:r>
        <w:rPr>
          <w:rFonts w:eastAsia="MS PGothic"/>
          <w:lang w:eastAsia="ja-JP"/>
        </w:rPr>
        <w:t>Документации о закупке (с указанием понижающего коэффициента).</w:t>
      </w:r>
    </w:p>
    <w:p>
      <w:pPr>
        <w:pStyle w:val="ListParagraph"/>
        <w:spacing w:before="80" w:after="0"/>
        <w:ind w:left="-142" w:firstLine="426"/>
        <w:contextualSpacing/>
        <w:jc w:val="both"/>
        <w:rPr>
          <w:rFonts w:eastAsia="MS PGothic"/>
          <w:lang w:eastAsia="ja-JP"/>
        </w:rPr>
      </w:pPr>
      <w:r>
        <w:rPr>
          <w:rFonts w:eastAsia="MS PGothic"/>
          <w:lang w:eastAsia="ja-JP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r>
        <w:rPr/>
        <w:t>Требования к документации по ценообразованию на этапе заключения договора</w:t>
      </w:r>
    </w:p>
    <w:p>
      <w:pPr>
        <w:pStyle w:val="ListParagraph"/>
        <w:spacing w:before="80" w:after="0"/>
        <w:ind w:left="-142" w:firstLine="426"/>
        <w:contextualSpacing/>
        <w:jc w:val="both"/>
        <w:rPr>
          <w:bCs/>
          <w:iCs/>
          <w:lang w:eastAsia="x-none"/>
        </w:rPr>
      </w:pPr>
      <w:r>
        <w:rPr>
          <w:rFonts w:eastAsia="MS PGothic"/>
          <w:lang w:eastAsia="ja-JP"/>
        </w:rPr>
        <w:t xml:space="preserve">4.1. </w:t>
      </w:r>
      <w:r>
        <w:rPr>
          <w:bCs/>
          <w:iCs/>
          <w:lang w:eastAsia="x-none"/>
        </w:rPr>
        <w:t xml:space="preserve">Сметная документация разрабатывается </w:t>
      </w:r>
      <w:r>
        <w:rPr>
          <w:iCs/>
        </w:rPr>
        <w:t xml:space="preserve">Участником </w:t>
      </w:r>
      <w:r>
        <w:rPr>
          <w:bCs/>
          <w:iCs/>
          <w:lang w:eastAsia="x-none"/>
        </w:rPr>
        <w:t>в соответствии с требованиями, указанными в приложении №3 к настоящим Техническим требованиям, и включается в состав договора.</w:t>
      </w:r>
    </w:p>
    <w:p>
      <w:pPr>
        <w:pStyle w:val="Heading1"/>
        <w:numPr>
          <w:ilvl w:val="0"/>
          <w:numId w:val="3"/>
        </w:numPr>
        <w:ind w:left="0" w:hanging="0"/>
        <w:jc w:val="center"/>
        <w:rPr/>
      </w:pPr>
      <w:bookmarkStart w:id="36" w:name="_Toc54646413"/>
      <w:bookmarkStart w:id="37" w:name="_Toc51339699"/>
      <w:bookmarkStart w:id="38" w:name="_Toc46743519"/>
      <w:bookmarkStart w:id="39" w:name="_GoBack"/>
      <w:bookmarkEnd w:id="39"/>
      <w:r>
        <w:rPr/>
        <w:t>Приложения</w:t>
      </w:r>
      <w:bookmarkEnd w:id="36"/>
      <w:bookmarkEnd w:id="37"/>
      <w:bookmarkEnd w:id="38"/>
    </w:p>
    <w:p>
      <w:pPr>
        <w:pStyle w:val="Heading4"/>
        <w:numPr>
          <w:ilvl w:val="0"/>
          <w:numId w:val="0"/>
        </w:numPr>
        <w:ind w:left="0" w:hanging="0"/>
        <w:rPr>
          <w:highlight w:val="none"/>
          <w:shd w:fill="FFFFFF" w:val="clear"/>
        </w:rPr>
      </w:pPr>
      <w:r>
        <w:rPr>
          <w:b w:val="false"/>
          <w:shd w:fill="FFFFFF" w:val="clear"/>
        </w:rPr>
        <w:t xml:space="preserve">Приложение №1: Ведомость объёмов ВВИ </w:t>
      </w:r>
      <w:r>
        <w:rPr>
          <w:b w:val="false"/>
          <w:shd w:fill="FFFFFF" w:val="clear"/>
        </w:rPr>
        <w:t>и ПНР АСУТП яч.1</w:t>
      </w:r>
      <w:r>
        <w:rPr>
          <w:b w:val="false"/>
          <w:shd w:fill="FFFFFF" w:val="clear"/>
        </w:rPr>
        <w:t>;</w:t>
      </w:r>
    </w:p>
    <w:p>
      <w:pPr>
        <w:pStyle w:val="Heading4"/>
        <w:numPr>
          <w:ilvl w:val="0"/>
          <w:numId w:val="0"/>
        </w:numPr>
        <w:ind w:left="0" w:hanging="0"/>
        <w:rPr>
          <w:highlight w:val="none"/>
          <w:shd w:fill="auto" w:val="clear"/>
        </w:rPr>
      </w:pPr>
      <w:r>
        <w:rPr>
          <w:b w:val="false"/>
          <w:shd w:fill="auto" w:val="clear"/>
        </w:rPr>
        <w:t>Приложение №</w:t>
      </w:r>
      <w:r>
        <w:rPr>
          <w:b w:val="false"/>
          <w:shd w:fill="auto" w:val="clear"/>
          <w:lang w:val="ru-RU"/>
        </w:rPr>
        <w:t>2</w:t>
      </w:r>
      <w:r>
        <w:rPr>
          <w:b w:val="false"/>
          <w:shd w:fill="auto" w:val="clear"/>
        </w:rPr>
        <w:t>: «Методика допуска персонала подрядных организаций к выполнению работ на объектах Общества»;</w:t>
      </w:r>
    </w:p>
    <w:p>
      <w:pPr>
        <w:pStyle w:val="Heading4"/>
        <w:numPr>
          <w:ilvl w:val="0"/>
          <w:numId w:val="0"/>
        </w:numPr>
        <w:ind w:left="0" w:hanging="0"/>
        <w:rPr>
          <w:b w:val="false"/>
        </w:rPr>
      </w:pPr>
      <w:r>
        <w:rPr>
          <w:b w:val="false"/>
        </w:rPr>
        <w:t>Приложение №</w:t>
      </w:r>
      <w:r>
        <w:rPr>
          <w:b w:val="false"/>
          <w:lang w:val="ru-RU"/>
        </w:rPr>
        <w:t>3</w:t>
      </w:r>
      <w:r>
        <w:rPr>
          <w:b w:val="false"/>
        </w:rPr>
        <w:t>: «Требования к оформлению и составлению сметной документации на выполнение работ при новом строительстве, реконструкции и техническом перевооружении, ремонте».</w:t>
      </w:r>
    </w:p>
    <w:p>
      <w:pPr>
        <w:pStyle w:val="Heading4"/>
        <w:numPr>
          <w:ilvl w:val="0"/>
          <w:numId w:val="0"/>
        </w:numPr>
        <w:ind w:left="0" w:hanging="0"/>
        <w:rPr>
          <w:b w:val="false"/>
        </w:rPr>
      </w:pPr>
      <w:r>
        <w:rPr>
          <w:b w:val="false"/>
        </w:rPr>
        <w:t>Приложение №</w:t>
      </w:r>
      <w:r>
        <w:rPr>
          <w:b w:val="false"/>
          <w:lang w:val="ru-RU"/>
        </w:rPr>
        <w:t>4</w:t>
      </w:r>
      <w:r>
        <w:rPr>
          <w:b w:val="false"/>
        </w:rPr>
        <w:t xml:space="preserve">: Рабочая документация </w:t>
      </w:r>
      <w:r>
        <w:rPr>
          <w:b w:val="false"/>
          <w:bCs/>
          <w:iCs/>
          <w:szCs w:val="24"/>
        </w:rPr>
        <w:t>ЭС2200028.143 «Замена силового оборудования ЗРУ-220кВ, с проработкой вариантов замены на КРУЭ»</w:t>
      </w:r>
    </w:p>
    <w:p>
      <w:pPr>
        <w:pStyle w:val="Normal"/>
        <w:numPr>
          <w:ilvl w:val="0"/>
          <w:numId w:val="0"/>
        </w:numPr>
        <w:ind w:left="0" w:hanging="0"/>
        <w:rPr>
          <w:b w:val="false"/>
        </w:rPr>
      </w:pPr>
      <w:r>
        <w:rPr>
          <w:b w:val="false"/>
        </w:rPr>
      </w:r>
    </w:p>
    <w:p>
      <w:pPr>
        <w:pStyle w:val="29"/>
        <w:tabs>
          <w:tab w:val="clear" w:pos="708"/>
          <w:tab w:val="left" w:pos="7380" w:leader="none"/>
        </w:tabs>
        <w:spacing w:lineRule="auto" w:line="276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sectPr>
      <w:headerReference w:type="default" r:id="rId12"/>
      <w:headerReference w:type="first" r:id="rId13"/>
      <w:footerReference w:type="default" r:id="rId14"/>
      <w:footerReference w:type="first" r:id="rId15"/>
      <w:type w:val="nextPage"/>
      <w:pgSz w:w="11906" w:h="16838"/>
      <w:pgMar w:left="1134" w:right="851" w:gutter="0" w:header="680" w:top="1134" w:footer="737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3330072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169095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1577359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4933838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0273640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2801797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ed75d2"/>
    <w:pPr>
      <w:keepNext w:val="true"/>
      <w:numPr>
        <w:ilvl w:val="2"/>
        <w:numId w:val="3"/>
      </w:numPr>
      <w:spacing w:before="120" w:after="60"/>
      <w:jc w:val="both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ed75d2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uiPriority w:val="99"/>
    <w:qFormat/>
    <w:rsid w:val="002c67f2"/>
    <w:rPr>
      <w:sz w:val="28"/>
      <w:szCs w:val="28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10" w:customStyle="1">
    <w:name w:val="Обычный1"/>
    <w:qFormat/>
    <w:rsid w:val="009e6f99"/>
    <w:pPr>
      <w:widowControl w:val="false"/>
      <w:suppressAutoHyphens w:val="true"/>
      <w:bidi w:val="0"/>
      <w:spacing w:lineRule="auto" w:line="300" w:before="0" w:after="0"/>
      <w:ind w:left="600" w:hanging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29" w:customStyle="1">
    <w:name w:val="Обычный2"/>
    <w:qFormat/>
    <w:rsid w:val="009e6f99"/>
    <w:pPr>
      <w:widowControl w:val="false"/>
      <w:suppressAutoHyphens w:val="true"/>
      <w:bidi w:val="0"/>
      <w:spacing w:lineRule="auto" w:line="300" w:before="0" w:after="0"/>
      <w:ind w:left="600" w:hanging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Style33">
    <w:name w:val="Содержимое врезки"/>
    <w:basedOn w:val="Normal"/>
    <w:qFormat/>
    <w:pPr/>
    <w:rPr/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header" Target="header6.xml"/><Relationship Id="rId13" Type="http://schemas.openxmlformats.org/officeDocument/2006/relationships/header" Target="header7.xml"/><Relationship Id="rId14" Type="http://schemas.openxmlformats.org/officeDocument/2006/relationships/footer" Target="footer6.xml"/><Relationship Id="rId15" Type="http://schemas.openxmlformats.org/officeDocument/2006/relationships/footer" Target="footer7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27FA-3D74-42FD-ACFC-4043E706F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Application>AlterOffice/3.4.0.9$Linux_X86_64 LibreOffice_project/b8daf9e823b1a5463a2f48435ddc2e8696e7d4fc</Application>
  <AppVersion>15.0000</AppVersion>
  <Pages>13</Pages>
  <Words>2686</Words>
  <Characters>18960</Characters>
  <CharactersWithSpaces>21354</CharactersWithSpaces>
  <Paragraphs>276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2023-07-10T02:42:00Z</dcterms:created>
  <dc:creator>Быстров Олег Геннадьевич</dc:creator>
  <dc:description/>
  <dc:language>ru-RU</dc:language>
  <cp:lastModifiedBy>sherstukdi@corp.gidroogk.com</cp:lastModifiedBy>
  <cp:lastPrinted>2025-05-23T14:00:35Z</cp:lastPrinted>
  <dcterms:modified xsi:type="dcterms:W3CDTF">2026-06-24T11:17:25Z</dcterms:modified>
  <cp:revision>140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